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40" w:line="300" w:lineRule="auto"/>
        <w:jc w:val="right"/>
      </w:pPr>
      <w:r>
        <w:rPr>
          <w:rFonts w:ascii="Arial" w:hAnsi="Arial" w:cs="Arial" w:eastAsia="Arial"/>
          <w:b/>
          <w:bCs/>
          <w:color w:val="0B5C4B"/>
          <w:sz w:val="36"/>
          <w:szCs w:val="36"/>
          <w:rtl/>
          <w:lang w:val="en-US" w:bidi="ar-EG"/>
        </w:rPr>
        <w:t>عقد صيانة دورية</w:t>
      </w:r>
    </w:p>
    <w:p>
      <w:pPr>
        <w:bidi/>
        <w:spacing w:after="200" w:line="300" w:lineRule="auto"/>
        <w:jc w:val="right"/>
      </w:pPr>
      <w:r>
        <w:rPr>
          <w:rFonts w:ascii="Arial" w:hAnsi="Arial" w:cs="Arial" w:eastAsia="Arial"/>
          <w:color w:val="555B66"/>
          <w:sz w:val="19"/>
          <w:szCs w:val="19"/>
          <w:rtl/>
          <w:lang w:val="en-US" w:bidi="ar-EG"/>
        </w:rPr>
        <w:t>عدّل ما بين الأقواس المربعة، وراجع العقد مع مستشار قانوني في بلدك قبل توقيعه.</w:t>
      </w:r>
    </w:p>
    <w:tbl>
      <w:tblPr>
        <w:tblStyle w:val="TableGrid"/>
        <w:bidiVisual/>
        <w:tblW w:type="auto" w:w="0"/>
        <w:jc w:val="center"/>
        <w:tblLook w:firstColumn="1" w:firstRow="1" w:lastColumn="0" w:lastRow="0" w:noHBand="0" w:noVBand="1" w:val="04A0"/>
      </w:tblPr>
      <w:tblGrid>
        <w:gridCol w:w="4933"/>
        <w:gridCol w:w="4933"/>
      </w:tblGrid>
      <w:tr>
        <w:trPr>
          <w:trHeight w:val="454"/>
        </w:trPr>
        <w:tc>
          <w:tcPr>
            <w:tcW w:type="dxa" w:w="3354"/>
          </w:tcPr>
          <w:p>
            <w:pPr>
              <w:bidi/>
              <w:spacing w:after="0"/>
              <w:jc w:val="right"/>
            </w:pPr>
            <w:r>
              <w:rPr>
                <w:rFonts w:ascii="Arial" w:hAnsi="Arial" w:cs="Arial" w:eastAsia="Arial"/>
                <w:sz w:val="20"/>
                <w:szCs w:val="20"/>
                <w:rtl/>
                <w:lang w:val="en-US" w:bidi="ar-EG"/>
              </w:rPr>
              <w:t>رقم العقد</w:t>
            </w:r>
          </w:p>
        </w:tc>
        <w:tc>
          <w:tcPr>
            <w:tcW w:type="dxa" w:w="6511"/>
          </w:tcPr>
          <w:p>
            <w:pPr>
              <w:bidi/>
              <w:spacing w:after="0"/>
              <w:jc w:val="right"/>
            </w:pPr>
            <w:r>
              <w:rPr>
                <w:rFonts w:ascii="Arial" w:hAnsi="Arial" w:cs="Arial" w:eastAsia="Arial"/>
                <w:sz w:val="20"/>
                <w:szCs w:val="20"/>
                <w:rtl/>
                <w:lang w:val="en-US" w:bidi="ar-EG"/>
              </w:rPr>
              <w:t>[رقم]</w:t>
            </w:r>
          </w:p>
        </w:tc>
      </w:tr>
      <w:tr>
        <w:trPr>
          <w:trHeight w:val="454"/>
        </w:trPr>
        <w:tc>
          <w:tcPr>
            <w:tcW w:type="dxa" w:w="3354"/>
          </w:tcPr>
          <w:p>
            <w:pPr>
              <w:bidi/>
              <w:spacing w:after="0"/>
              <w:jc w:val="right"/>
            </w:pPr>
            <w:r>
              <w:rPr>
                <w:rFonts w:ascii="Arial" w:hAnsi="Arial" w:cs="Arial" w:eastAsia="Arial"/>
                <w:sz w:val="20"/>
                <w:szCs w:val="20"/>
                <w:rtl/>
                <w:lang w:val="en-US" w:bidi="ar-EG"/>
              </w:rPr>
              <w:t>تاريخ التحرير</w:t>
            </w:r>
          </w:p>
        </w:tc>
        <w:tc>
          <w:tcPr>
            <w:tcW w:type="dxa" w:w="6511"/>
          </w:tcPr>
          <w:p>
            <w:pPr>
              <w:bidi/>
              <w:spacing w:after="0"/>
              <w:jc w:val="right"/>
            </w:pPr>
            <w:r>
              <w:rPr>
                <w:rFonts w:ascii="Arial" w:hAnsi="Arial" w:cs="Arial" w:eastAsia="Arial"/>
                <w:sz w:val="20"/>
                <w:szCs w:val="20"/>
                <w:rtl/>
                <w:lang w:val="en-US" w:bidi="ar-EG"/>
              </w:rPr>
              <w:t>[التاريخ]</w:t>
            </w:r>
          </w:p>
        </w:tc>
      </w:tr>
      <w:tr>
        <w:trPr>
          <w:trHeight w:val="454"/>
        </w:trPr>
        <w:tc>
          <w:tcPr>
            <w:tcW w:type="dxa" w:w="3354"/>
          </w:tcPr>
          <w:p>
            <w:pPr>
              <w:bidi/>
              <w:spacing w:after="0"/>
              <w:jc w:val="right"/>
            </w:pPr>
            <w:r>
              <w:rPr>
                <w:rFonts w:ascii="Arial" w:hAnsi="Arial" w:cs="Arial" w:eastAsia="Arial"/>
                <w:sz w:val="20"/>
                <w:szCs w:val="20"/>
                <w:rtl/>
                <w:lang w:val="en-US" w:bidi="ar-EG"/>
              </w:rPr>
              <w:t>مكان التحرير</w:t>
            </w:r>
          </w:p>
        </w:tc>
        <w:tc>
          <w:tcPr>
            <w:tcW w:type="dxa" w:w="6511"/>
          </w:tcPr>
          <w:p>
            <w:pPr>
              <w:bidi/>
              <w:spacing w:after="0"/>
              <w:jc w:val="right"/>
            </w:pPr>
            <w:r>
              <w:rPr>
                <w:rFonts w:ascii="Arial" w:hAnsi="Arial" w:cs="Arial" w:eastAsia="Arial"/>
                <w:sz w:val="20"/>
                <w:szCs w:val="20"/>
                <w:rtl/>
                <w:lang w:val="en-US" w:bidi="ar-EG"/>
              </w:rPr>
              <w:t>[المدينة والبلد]</w:t>
            </w:r>
          </w:p>
        </w:tc>
      </w:tr>
    </w:tbl>
    <w:p>
      <w:pPr>
        <w:spacing w:after="40"/>
      </w:pPr>
    </w:p>
    <w:p>
      <w:pPr>
        <w:bidi/>
        <w:spacing w:after="60" w:line="300" w:lineRule="auto"/>
        <w:jc w:val="right"/>
      </w:pPr>
      <w:r>
        <w:rPr>
          <w:rFonts w:ascii="Arial" w:hAnsi="Arial" w:cs="Arial" w:eastAsia="Arial"/>
          <w:b/>
          <w:bCs/>
          <w:color w:val="0B5C4B"/>
          <w:sz w:val="25"/>
          <w:szCs w:val="25"/>
          <w:rtl/>
          <w:lang w:val="en-US" w:bidi="ar-EG"/>
        </w:rPr>
        <w:t>الأطراف</w:t>
      </w:r>
    </w:p>
    <w:p>
      <w:pPr>
        <w:bidi/>
        <w:spacing w:after="80" w:line="300" w:lineRule="auto"/>
        <w:jc w:val="right"/>
      </w:pPr>
      <w:r>
        <w:rPr>
          <w:rFonts w:ascii="Arial" w:hAnsi="Arial" w:cs="Arial" w:eastAsia="Arial"/>
          <w:b/>
          <w:bCs/>
          <w:sz w:val="21"/>
          <w:szCs w:val="21"/>
          <w:rtl/>
          <w:lang w:val="en-US" w:bidi="ar-EG"/>
        </w:rPr>
        <w:t>الطرف الأول (شركة الصيانة):</w:t>
      </w:r>
      <w:r>
        <w:rPr>
          <w:rFonts w:ascii="Arial" w:hAnsi="Arial" w:cs="Arial" w:eastAsia="Arial"/>
          <w:sz w:val="21"/>
          <w:szCs w:val="21"/>
          <w:rtl/>
          <w:lang w:val="en-US" w:bidi="ar-EG"/>
        </w:rPr>
        <w:t xml:space="preserve"> [اسم الشركة]، ويمثلها [الاسم والصفة]، سجل تجاري رقم [الرقم]، وعنوانها [العنوان]، وهاتفها [الهاتف].</w:t>
      </w:r>
    </w:p>
    <w:p>
      <w:pPr>
        <w:bidi/>
        <w:spacing w:after="80" w:line="300" w:lineRule="auto"/>
        <w:jc w:val="right"/>
      </w:pPr>
      <w:r>
        <w:rPr>
          <w:rFonts w:ascii="Arial" w:hAnsi="Arial" w:cs="Arial" w:eastAsia="Arial"/>
          <w:b/>
          <w:bCs/>
          <w:sz w:val="21"/>
          <w:szCs w:val="21"/>
          <w:rtl/>
          <w:lang w:val="en-US" w:bidi="ar-EG"/>
        </w:rPr>
        <w:t>الطرف الثاني (العميل):</w:t>
      </w:r>
      <w:r>
        <w:rPr>
          <w:rFonts w:ascii="Arial" w:hAnsi="Arial" w:cs="Arial" w:eastAsia="Arial"/>
          <w:sz w:val="21"/>
          <w:szCs w:val="21"/>
          <w:rtl/>
          <w:lang w:val="en-US" w:bidi="ar-EG"/>
        </w:rPr>
        <w:t xml:space="preserve"> [اسم العميل أو الشركة]، ويمثله [الاسم والصفة]، وعنوانه [العنوان]، وهاتفه [الهاتف].</w:t>
      </w:r>
    </w:p>
    <w:p>
      <w:pPr>
        <w:bidi/>
        <w:spacing w:after="60" w:line="300" w:lineRule="auto"/>
        <w:jc w:val="right"/>
      </w:pPr>
      <w:r>
        <w:rPr>
          <w:rFonts w:ascii="Arial" w:hAnsi="Arial" w:cs="Arial" w:eastAsia="Arial"/>
          <w:b/>
          <w:bCs/>
          <w:color w:val="0B5C4B"/>
          <w:sz w:val="25"/>
          <w:szCs w:val="25"/>
          <w:rtl/>
          <w:lang w:val="en-US" w:bidi="ar-EG"/>
        </w:rPr>
        <w:t>البند الأول: موضوع العقد</w:t>
      </w:r>
    </w:p>
    <w:p>
      <w:pPr>
        <w:bidi/>
        <w:spacing w:after="80" w:line="300" w:lineRule="auto"/>
        <w:jc w:val="right"/>
      </w:pPr>
      <w:r>
        <w:rPr>
          <w:rFonts w:ascii="Arial" w:hAnsi="Arial" w:cs="Arial" w:eastAsia="Arial"/>
          <w:sz w:val="21"/>
          <w:szCs w:val="21"/>
          <w:rtl/>
          <w:lang w:val="en-US" w:bidi="ar-EG"/>
        </w:rPr>
        <w:t>يتعهد الطرف الأول بتنفيذ أعمال الصيانة الدورية للأجهزة والمعدات المبينة في الملحق الفني المرفق (ملحق 1)، الكائنة في [عنوان الموقع]، وفق الشروط الواردة في هذا العقد.</w:t>
      </w:r>
    </w:p>
    <w:p>
      <w:pPr>
        <w:bidi/>
        <w:spacing w:after="60" w:line="300" w:lineRule="auto"/>
        <w:jc w:val="right"/>
      </w:pPr>
      <w:r>
        <w:rPr>
          <w:rFonts w:ascii="Arial" w:hAnsi="Arial" w:cs="Arial" w:eastAsia="Arial"/>
          <w:b/>
          <w:bCs/>
          <w:color w:val="0B5C4B"/>
          <w:sz w:val="25"/>
          <w:szCs w:val="25"/>
          <w:rtl/>
          <w:lang w:val="en-US" w:bidi="ar-EG"/>
        </w:rPr>
        <w:t>البند الثاني: مدة العقد</w:t>
      </w:r>
    </w:p>
    <w:p>
      <w:pPr>
        <w:bidi/>
        <w:spacing w:after="80" w:line="300" w:lineRule="auto"/>
        <w:jc w:val="right"/>
      </w:pPr>
      <w:r>
        <w:rPr>
          <w:rFonts w:ascii="Arial" w:hAnsi="Arial" w:cs="Arial" w:eastAsia="Arial"/>
          <w:sz w:val="21"/>
          <w:szCs w:val="21"/>
          <w:rtl/>
          <w:lang w:val="en-US" w:bidi="ar-EG"/>
        </w:rPr>
        <w:t>مدة العقد [12] شهرًا تبدأ من [تاريخ البدء] وتنتهي في [تاريخ الانتهاء]، وتُجدد لمدة مماثلة ما لم يخطر أحد الطرفين الآخر كتابةً بعدم رغبته في التجديد قبل [30] يومًا من تاريخ الانتهاء.</w:t>
      </w:r>
    </w:p>
    <w:p>
      <w:pPr>
        <w:bidi/>
        <w:spacing w:after="60" w:line="300" w:lineRule="auto"/>
        <w:jc w:val="right"/>
      </w:pPr>
      <w:r>
        <w:rPr>
          <w:rFonts w:ascii="Arial" w:hAnsi="Arial" w:cs="Arial" w:eastAsia="Arial"/>
          <w:b/>
          <w:bCs/>
          <w:color w:val="0B5C4B"/>
          <w:sz w:val="25"/>
          <w:szCs w:val="25"/>
          <w:rtl/>
          <w:lang w:val="en-US" w:bidi="ar-EG"/>
        </w:rPr>
        <w:t>البند الثالث: نطاق الخدمة</w:t>
      </w:r>
    </w:p>
    <w:p>
      <w:pPr>
        <w:bidi/>
        <w:spacing w:after="80" w:line="300" w:lineRule="auto"/>
        <w:jc w:val="right"/>
      </w:pPr>
      <w:r>
        <w:rPr>
          <w:rFonts w:ascii="Arial" w:hAnsi="Arial" w:cs="Arial" w:eastAsia="Arial"/>
          <w:sz w:val="21"/>
          <w:szCs w:val="21"/>
          <w:rtl/>
          <w:lang w:val="en-US" w:bidi="ar-EG"/>
        </w:rPr>
        <w:t>تشمل الصيانة الدورية [عدد] زيارات في السنة في المواعيد المبينة في الملحق الفني، ويجري خلال كل زيارة الفحص والتنظيف والضبط وقائمة الفحوص المعتمدة لكل نوع من الأجهزة، ويسلَّم للطرف الثاني تقرير مكتوب بعد كل زيارة يبين ما جرى فحصه وما لوحظ وما يوصى به.</w:t>
      </w:r>
    </w:p>
    <w:p>
      <w:pPr>
        <w:bidi/>
        <w:spacing w:after="60" w:line="300" w:lineRule="auto"/>
        <w:jc w:val="right"/>
      </w:pPr>
      <w:r>
        <w:rPr>
          <w:rFonts w:ascii="Arial" w:hAnsi="Arial" w:cs="Arial" w:eastAsia="Arial"/>
          <w:b/>
          <w:bCs/>
          <w:color w:val="0B5C4B"/>
          <w:sz w:val="25"/>
          <w:szCs w:val="25"/>
          <w:rtl/>
          <w:lang w:val="en-US" w:bidi="ar-EG"/>
        </w:rPr>
        <w:t>البند الرابع: ما لا يشمله العقد</w:t>
      </w:r>
    </w:p>
    <w:p>
      <w:pPr>
        <w:bidi/>
        <w:spacing w:after="80" w:line="300" w:lineRule="auto"/>
        <w:jc w:val="right"/>
      </w:pPr>
      <w:r>
        <w:rPr>
          <w:rFonts w:ascii="Arial" w:hAnsi="Arial" w:cs="Arial" w:eastAsia="Arial"/>
          <w:sz w:val="21"/>
          <w:szCs w:val="21"/>
          <w:rtl/>
          <w:lang w:val="en-US" w:bidi="ar-EG"/>
        </w:rPr>
        <w:t>لا يشمل العقد ما يلي إلا باتفاق كتابي منفصل: قطع الغيار الجديدة، والمواد الاستهلاكية [حدد ما تشمله أو لا تشمله]، والإصلاحات الناتجة عن سوء استخدام أو تدخل من طرف آخر أو انقطاع الكهرباء أو ظروف قاهرة، وأي أعمال تركيب أو نقل أو تعديل.</w:t>
      </w:r>
    </w:p>
    <w:p>
      <w:pPr>
        <w:bidi/>
        <w:spacing w:after="60" w:line="300" w:lineRule="auto"/>
        <w:jc w:val="right"/>
      </w:pPr>
      <w:r>
        <w:rPr>
          <w:rFonts w:ascii="Arial" w:hAnsi="Arial" w:cs="Arial" w:eastAsia="Arial"/>
          <w:b/>
          <w:bCs/>
          <w:color w:val="0B5C4B"/>
          <w:sz w:val="25"/>
          <w:szCs w:val="25"/>
          <w:rtl/>
          <w:lang w:val="en-US" w:bidi="ar-EG"/>
        </w:rPr>
        <w:t>البند الخامس: زيارات الطوارئ</w:t>
      </w:r>
    </w:p>
    <w:p>
      <w:pPr>
        <w:bidi/>
        <w:spacing w:after="80" w:line="300" w:lineRule="auto"/>
        <w:jc w:val="right"/>
      </w:pPr>
      <w:r>
        <w:rPr>
          <w:rFonts w:ascii="Arial" w:hAnsi="Arial" w:cs="Arial" w:eastAsia="Arial"/>
          <w:sz w:val="21"/>
          <w:szCs w:val="21"/>
          <w:rtl/>
          <w:lang w:val="en-US" w:bidi="ar-EG"/>
        </w:rPr>
        <w:t>عند الإبلاغ عن عطل، يلتزم الطرف الأول بالاستجابة خلال [عدد] ساعات عمل من تلقي البلاغ عبر [قناة البلاغ المتفق عليها]، وتُحتسب زيارة الطوارئ [ضمن قيمة العقد / بمبلغ مستقل قدره ...].</w:t>
      </w:r>
    </w:p>
    <w:p>
      <w:pPr>
        <w:bidi/>
        <w:spacing w:after="60" w:line="300" w:lineRule="auto"/>
        <w:jc w:val="right"/>
      </w:pPr>
      <w:r>
        <w:rPr>
          <w:rFonts w:ascii="Arial" w:hAnsi="Arial" w:cs="Arial" w:eastAsia="Arial"/>
          <w:b/>
          <w:bCs/>
          <w:color w:val="0B5C4B"/>
          <w:sz w:val="25"/>
          <w:szCs w:val="25"/>
          <w:rtl/>
          <w:lang w:val="en-US" w:bidi="ar-EG"/>
        </w:rPr>
        <w:t>البند السادس: قطع الغيار</w:t>
      </w:r>
    </w:p>
    <w:p>
      <w:pPr>
        <w:bidi/>
        <w:spacing w:after="80" w:line="300" w:lineRule="auto"/>
        <w:jc w:val="right"/>
      </w:pPr>
      <w:r>
        <w:rPr>
          <w:rFonts w:ascii="Arial" w:hAnsi="Arial" w:cs="Arial" w:eastAsia="Arial"/>
          <w:sz w:val="21"/>
          <w:szCs w:val="21"/>
          <w:rtl/>
          <w:lang w:val="en-US" w:bidi="ar-EG"/>
        </w:rPr>
        <w:t>إذا تبين أن الجهاز يحتاج إلى قطعة غيار، يرسل الطرف الأول عرض سعر للطرف الثاني، ولا تُستبدل أي قطعة إلا بعد موافقته كتابةً أو عبر القناة المعتمدة، وتخضع القطع المركبة لضمان مدته [المدة].</w:t>
      </w:r>
    </w:p>
    <w:p>
      <w:pPr>
        <w:bidi/>
        <w:spacing w:after="60" w:line="300" w:lineRule="auto"/>
        <w:jc w:val="right"/>
      </w:pPr>
      <w:r>
        <w:rPr>
          <w:rFonts w:ascii="Arial" w:hAnsi="Arial" w:cs="Arial" w:eastAsia="Arial"/>
          <w:b/>
          <w:bCs/>
          <w:color w:val="0B5C4B"/>
          <w:sz w:val="25"/>
          <w:szCs w:val="25"/>
          <w:rtl/>
          <w:lang w:val="en-US" w:bidi="ar-EG"/>
        </w:rPr>
        <w:t>البند السابع: القيمة وطريقة الدفع</w:t>
      </w:r>
    </w:p>
    <w:p>
      <w:pPr>
        <w:bidi/>
        <w:spacing w:after="80" w:line="300" w:lineRule="auto"/>
        <w:jc w:val="right"/>
      </w:pPr>
      <w:r>
        <w:rPr>
          <w:rFonts w:ascii="Arial" w:hAnsi="Arial" w:cs="Arial" w:eastAsia="Arial"/>
          <w:sz w:val="21"/>
          <w:szCs w:val="21"/>
          <w:rtl/>
          <w:lang w:val="en-US" w:bidi="ar-EG"/>
        </w:rPr>
        <w:t>قيمة العقد [المبلغ] [العملة: جنيه مصري / ريال سعودي / درهم إماراتي] [شاملة / غير شاملة] ضريبة القيمة المضافة، تُسدد [دفعة واحدة / على دفعات في التواريخ التالية: ...]، ويحق للطرف الأول إيقاف الزيارات عند التأخر في السداد أكثر من [عدد] يومًا بعد إخطار مكتوب.</w:t>
      </w:r>
    </w:p>
    <w:p>
      <w:pPr>
        <w:bidi/>
        <w:spacing w:after="60" w:line="300" w:lineRule="auto"/>
        <w:jc w:val="right"/>
      </w:pPr>
      <w:r>
        <w:rPr>
          <w:rFonts w:ascii="Arial" w:hAnsi="Arial" w:cs="Arial" w:eastAsia="Arial"/>
          <w:b/>
          <w:bCs/>
          <w:color w:val="0B5C4B"/>
          <w:sz w:val="25"/>
          <w:szCs w:val="25"/>
          <w:rtl/>
          <w:lang w:val="en-US" w:bidi="ar-EG"/>
        </w:rPr>
        <w:t>البند الثامن: التزامات الطرف الثاني</w:t>
      </w:r>
    </w:p>
    <w:p>
      <w:pPr>
        <w:bidi/>
        <w:spacing w:after="80" w:line="300" w:lineRule="auto"/>
        <w:jc w:val="right"/>
      </w:pPr>
      <w:r>
        <w:rPr>
          <w:rFonts w:ascii="Arial" w:hAnsi="Arial" w:cs="Arial" w:eastAsia="Arial"/>
          <w:sz w:val="21"/>
          <w:szCs w:val="21"/>
          <w:rtl/>
          <w:lang w:val="en-US" w:bidi="ar-EG"/>
        </w:rPr>
        <w:t>يلتزم الطرف الثاني بتمكين فنيي الطرف الأول من الوصول إلى الأجهزة في المواعيد المتفق عليها، وتوفير مصدر الكهرباء والمياه اللازمين، وإبلاغ الطرف الأول عن أي عطل فور ظهوره، وعدم السماح لجهة أخرى بإصلاح الأجهزة أثناء سريان العقد دون إخطار.</w:t>
      </w:r>
    </w:p>
    <w:p>
      <w:pPr>
        <w:bidi/>
        <w:spacing w:after="60" w:line="300" w:lineRule="auto"/>
        <w:jc w:val="right"/>
      </w:pPr>
      <w:r>
        <w:rPr>
          <w:rFonts w:ascii="Arial" w:hAnsi="Arial" w:cs="Arial" w:eastAsia="Arial"/>
          <w:b/>
          <w:bCs/>
          <w:color w:val="0B5C4B"/>
          <w:sz w:val="25"/>
          <w:szCs w:val="25"/>
          <w:rtl/>
          <w:lang w:val="en-US" w:bidi="ar-EG"/>
        </w:rPr>
        <w:t>البند التاسع: الضمان والمسؤولية</w:t>
      </w:r>
    </w:p>
    <w:p>
      <w:pPr>
        <w:bidi/>
        <w:spacing w:after="80" w:line="300" w:lineRule="auto"/>
        <w:jc w:val="right"/>
      </w:pPr>
      <w:r>
        <w:rPr>
          <w:rFonts w:ascii="Arial" w:hAnsi="Arial" w:cs="Arial" w:eastAsia="Arial"/>
          <w:sz w:val="21"/>
          <w:szCs w:val="21"/>
          <w:rtl/>
          <w:lang w:val="en-US" w:bidi="ar-EG"/>
        </w:rPr>
        <w:t>يضمن الطرف الأول جودة الأعمال المنفذة لمدة [المدة]، ولا يُسأل عن أعطال ناتجة عن خلل سابق لم يُبلَّغ عنه أو عن أسباب خارجة عن إرادته، وتنحصر مسؤوليته في حدود [القيمة أو نسبة من قيمة العقد].</w:t>
      </w:r>
    </w:p>
    <w:p>
      <w:pPr>
        <w:bidi/>
        <w:spacing w:after="60" w:line="300" w:lineRule="auto"/>
        <w:jc w:val="right"/>
      </w:pPr>
      <w:r>
        <w:rPr>
          <w:rFonts w:ascii="Arial" w:hAnsi="Arial" w:cs="Arial" w:eastAsia="Arial"/>
          <w:b/>
          <w:bCs/>
          <w:color w:val="0B5C4B"/>
          <w:sz w:val="25"/>
          <w:szCs w:val="25"/>
          <w:rtl/>
          <w:lang w:val="en-US" w:bidi="ar-EG"/>
        </w:rPr>
        <w:t>البند العاشر: الإنهاء</w:t>
      </w:r>
    </w:p>
    <w:p>
      <w:pPr>
        <w:bidi/>
        <w:spacing w:after="80" w:line="300" w:lineRule="auto"/>
        <w:jc w:val="right"/>
      </w:pPr>
      <w:r>
        <w:rPr>
          <w:rFonts w:ascii="Arial" w:hAnsi="Arial" w:cs="Arial" w:eastAsia="Arial"/>
          <w:sz w:val="21"/>
          <w:szCs w:val="21"/>
          <w:rtl/>
          <w:lang w:val="en-US" w:bidi="ar-EG"/>
        </w:rPr>
        <w:t>يجوز لأي من الطرفين إنهاء العقد بإخطار كتابي قبل [عدد] يومًا، أو فورًا عند إخلال الطرف الآخر بالتزاماته الجوهرية وعدم تصحيحه خلال [عدد] أيام من إخطاره، وتُحسب المستحقات عن الفترة المنفذة فعليًا.</w:t>
      </w:r>
    </w:p>
    <w:p>
      <w:pPr>
        <w:bidi/>
        <w:spacing w:after="60" w:line="300" w:lineRule="auto"/>
        <w:jc w:val="right"/>
      </w:pPr>
      <w:r>
        <w:rPr>
          <w:rFonts w:ascii="Arial" w:hAnsi="Arial" w:cs="Arial" w:eastAsia="Arial"/>
          <w:b/>
          <w:bCs/>
          <w:color w:val="0B5C4B"/>
          <w:sz w:val="25"/>
          <w:szCs w:val="25"/>
          <w:rtl/>
          <w:lang w:val="en-US" w:bidi="ar-EG"/>
        </w:rPr>
        <w:t>البند الحادي عشر: السرية</w:t>
      </w:r>
    </w:p>
    <w:p>
      <w:pPr>
        <w:bidi/>
        <w:spacing w:after="80" w:line="300" w:lineRule="auto"/>
        <w:jc w:val="right"/>
      </w:pPr>
      <w:r>
        <w:rPr>
          <w:rFonts w:ascii="Arial" w:hAnsi="Arial" w:cs="Arial" w:eastAsia="Arial"/>
          <w:sz w:val="21"/>
          <w:szCs w:val="21"/>
          <w:rtl/>
          <w:lang w:val="en-US" w:bidi="ar-EG"/>
        </w:rPr>
        <w:t>يلتزم الطرفان بعدم إفشاء المعلومات الفنية والمالية المتبادلة بينهما بسبب هذا العقد.</w:t>
      </w:r>
    </w:p>
    <w:p>
      <w:pPr>
        <w:bidi/>
        <w:spacing w:after="60" w:line="300" w:lineRule="auto"/>
        <w:jc w:val="right"/>
      </w:pPr>
      <w:r>
        <w:rPr>
          <w:rFonts w:ascii="Arial" w:hAnsi="Arial" w:cs="Arial" w:eastAsia="Arial"/>
          <w:b/>
          <w:bCs/>
          <w:color w:val="0B5C4B"/>
          <w:sz w:val="25"/>
          <w:szCs w:val="25"/>
          <w:rtl/>
          <w:lang w:val="en-US" w:bidi="ar-EG"/>
        </w:rPr>
        <w:t>البند الثاني عشر: القانون وحل النزاعات</w:t>
      </w:r>
    </w:p>
    <w:p>
      <w:pPr>
        <w:bidi/>
        <w:spacing w:after="80" w:line="300" w:lineRule="auto"/>
        <w:jc w:val="right"/>
      </w:pPr>
      <w:r>
        <w:rPr>
          <w:rFonts w:ascii="Arial" w:hAnsi="Arial" w:cs="Arial" w:eastAsia="Arial"/>
          <w:sz w:val="21"/>
          <w:szCs w:val="21"/>
          <w:rtl/>
          <w:lang w:val="en-US" w:bidi="ar-EG"/>
        </w:rPr>
        <w:t>يخضع هذا العقد لقوانين [البلد]، وتُحل الخلافات ودّيًا أولًا، فإن تعذر ذلك فيُحال إلى [المحكمة أو جهة التحكيم المختصة].</w:t>
      </w:r>
    </w:p>
    <w:p>
      <w:pPr>
        <w:bidi/>
        <w:spacing w:after="60" w:line="300" w:lineRule="auto"/>
        <w:jc w:val="right"/>
      </w:pPr>
      <w:r>
        <w:rPr>
          <w:rFonts w:ascii="Arial" w:hAnsi="Arial" w:cs="Arial" w:eastAsia="Arial"/>
          <w:b/>
          <w:bCs/>
          <w:color w:val="0B5C4B"/>
          <w:sz w:val="25"/>
          <w:szCs w:val="25"/>
          <w:rtl/>
          <w:lang w:val="en-US" w:bidi="ar-EG"/>
        </w:rPr>
        <w:t>التوقيعات</w:t>
      </w:r>
    </w:p>
    <w:tbl>
      <w:tblPr>
        <w:tblStyle w:val="TableGrid"/>
        <w:bidiVisual/>
        <w:tblW w:type="auto" w:w="0"/>
        <w:jc w:val="center"/>
        <w:tblLook w:firstColumn="1" w:firstRow="1" w:lastColumn="0" w:lastRow="0" w:noHBand="0" w:noVBand="1" w:val="04A0"/>
      </w:tblPr>
      <w:tblGrid>
        <w:gridCol w:w="4933"/>
        <w:gridCol w:w="4933"/>
      </w:tblGrid>
      <w:tr>
        <w:trPr>
          <w:trHeight w:val="907"/>
        </w:trPr>
        <w:tc>
          <w:tcPr>
            <w:tcW w:type="dxa" w:w="4932"/>
          </w:tcPr>
          <w:p>
            <w:pPr>
              <w:bidi/>
              <w:spacing w:after="0"/>
              <w:jc w:val="right"/>
            </w:pPr>
            <w:r>
              <w:rPr>
                <w:rFonts w:ascii="Arial" w:hAnsi="Arial" w:cs="Arial" w:eastAsia="Arial"/>
                <w:sz w:val="20"/>
                <w:szCs w:val="20"/>
                <w:rtl/>
                <w:lang w:val="en-US" w:bidi="ar-EG"/>
              </w:rPr>
              <w:t>الطرف الأول: الاسم والتوقيع والختم</w:t>
            </w:r>
          </w:p>
        </w:tc>
        <w:tc>
          <w:tcPr>
            <w:tcW w:type="dxa" w:w="4932"/>
          </w:tcPr>
          <w:p>
            <w:pPr>
              <w:bidi/>
              <w:spacing w:after="0"/>
              <w:jc w:val="right"/>
            </w:pPr>
            <w:r>
              <w:rPr>
                <w:rFonts w:ascii="Arial" w:hAnsi="Arial" w:cs="Arial" w:eastAsia="Arial"/>
                <w:sz w:val="20"/>
                <w:szCs w:val="20"/>
                <w:rtl/>
                <w:lang w:val="en-US" w:bidi="ar-EG"/>
              </w:rPr>
              <w:t>الطرف الثاني: الاسم والتوقيع والختم</w:t>
            </w:r>
          </w:p>
        </w:tc>
      </w:tr>
      <w:tr>
        <w:trPr>
          <w:trHeight w:val="907"/>
        </w:trPr>
        <w:tc>
          <w:tcPr>
            <w:tcW w:type="dxa" w:w="4932"/>
          </w:tcPr>
          <w:p>
            <w:pPr>
              <w:bidi/>
              <w:spacing w:after="0"/>
              <w:jc w:val="right"/>
            </w:pPr>
          </w:p>
        </w:tc>
        <w:tc>
          <w:tcPr>
            <w:tcW w:type="dxa" w:w="4932"/>
          </w:tcPr>
          <w:p>
            <w:pPr>
              <w:bidi/>
              <w:spacing w:after="0"/>
              <w:jc w:val="right"/>
            </w:pPr>
          </w:p>
        </w:tc>
      </w:tr>
    </w:tbl>
    <w:p>
      <w:pPr>
        <w:spacing w:after="40"/>
      </w:pPr>
    </w:p>
    <w:p>
      <w:pPr>
        <w:bidi/>
        <w:spacing w:after="60" w:line="300" w:lineRule="auto"/>
        <w:jc w:val="right"/>
      </w:pPr>
      <w:r>
        <w:rPr>
          <w:rFonts w:ascii="Arial" w:hAnsi="Arial" w:cs="Arial" w:eastAsia="Arial"/>
          <w:b/>
          <w:bCs/>
          <w:color w:val="0B5C4B"/>
          <w:sz w:val="25"/>
          <w:szCs w:val="25"/>
          <w:rtl/>
          <w:lang w:val="en-US" w:bidi="ar-EG"/>
        </w:rPr>
        <w:t>ملحق 1: الجدول الفني</w:t>
      </w:r>
    </w:p>
    <w:tbl>
      <w:tblPr>
        <w:tblStyle w:val="TableGrid"/>
        <w:bidiVisual/>
        <w:tblW w:type="auto" w:w="0"/>
        <w:jc w:val="center"/>
        <w:tblLook w:firstColumn="1" w:firstRow="1" w:lastColumn="0" w:lastRow="0" w:noHBand="0" w:noVBand="1" w:val="04A0"/>
      </w:tblPr>
      <w:tblGrid>
        <w:gridCol w:w="1644"/>
        <w:gridCol w:w="1644"/>
        <w:gridCol w:w="1644"/>
        <w:gridCol w:w="1644"/>
        <w:gridCol w:w="1644"/>
        <w:gridCol w:w="1644"/>
      </w:tblGrid>
      <w:tr>
        <w:trPr>
          <w:trHeight w:val="425"/>
        </w:trPr>
        <w:tc>
          <w:tcPr>
            <w:tcW w:type="dxa" w:w="567"/>
            <w:shd w:val="clear" w:color="auto" w:fill="0B5C4B"/>
          </w:tcPr>
          <w:p>
            <w:pPr>
              <w:bidi/>
              <w:spacing w:after="0"/>
              <w:jc w:val="right"/>
            </w:pPr>
            <w:r>
              <w:rPr>
                <w:rFonts w:ascii="Arial" w:hAnsi="Arial" w:cs="Arial" w:eastAsia="Arial"/>
                <w:b/>
                <w:bCs/>
                <w:color w:val="FFFFFF"/>
                <w:sz w:val="19"/>
                <w:szCs w:val="19"/>
                <w:rtl/>
                <w:lang w:val="en-US" w:bidi="ar-EG"/>
              </w:rPr>
              <w:t>م</w:t>
            </w:r>
          </w:p>
        </w:tc>
        <w:tc>
          <w:tcPr>
            <w:tcW w:type="dxa" w:w="2381"/>
            <w:shd w:val="clear" w:color="auto" w:fill="0B5C4B"/>
          </w:tcPr>
          <w:p>
            <w:pPr>
              <w:bidi/>
              <w:spacing w:after="0"/>
              <w:jc w:val="right"/>
            </w:pPr>
            <w:r>
              <w:rPr>
                <w:rFonts w:ascii="Arial" w:hAnsi="Arial" w:cs="Arial" w:eastAsia="Arial"/>
                <w:b/>
                <w:bCs/>
                <w:color w:val="FFFFFF"/>
                <w:sz w:val="19"/>
                <w:szCs w:val="19"/>
                <w:rtl/>
                <w:lang w:val="en-US" w:bidi="ar-EG"/>
              </w:rPr>
              <w:t>الجهاز أو المعدة</w:t>
            </w:r>
          </w:p>
        </w:tc>
        <w:tc>
          <w:tcPr>
            <w:tcW w:type="dxa" w:w="1814"/>
            <w:shd w:val="clear" w:color="auto" w:fill="0B5C4B"/>
          </w:tcPr>
          <w:p>
            <w:pPr>
              <w:bidi/>
              <w:spacing w:after="0"/>
              <w:jc w:val="right"/>
            </w:pPr>
            <w:r>
              <w:rPr>
                <w:rFonts w:ascii="Arial" w:hAnsi="Arial" w:cs="Arial" w:eastAsia="Arial"/>
                <w:b/>
                <w:bCs/>
                <w:color w:val="FFFFFF"/>
                <w:sz w:val="19"/>
                <w:szCs w:val="19"/>
                <w:rtl/>
                <w:lang w:val="en-US" w:bidi="ar-EG"/>
              </w:rPr>
              <w:t>الموقع</w:t>
            </w:r>
          </w:p>
        </w:tc>
        <w:tc>
          <w:tcPr>
            <w:tcW w:type="dxa" w:w="2154"/>
            <w:shd w:val="clear" w:color="auto" w:fill="0B5C4B"/>
          </w:tcPr>
          <w:p>
            <w:pPr>
              <w:bidi/>
              <w:spacing w:after="0"/>
              <w:jc w:val="right"/>
            </w:pPr>
            <w:r>
              <w:rPr>
                <w:rFonts w:ascii="Arial" w:hAnsi="Arial" w:cs="Arial" w:eastAsia="Arial"/>
                <w:b/>
                <w:bCs/>
                <w:color w:val="FFFFFF"/>
                <w:sz w:val="19"/>
                <w:szCs w:val="19"/>
                <w:rtl/>
                <w:lang w:val="en-US" w:bidi="ar-EG"/>
              </w:rPr>
              <w:t>الموديل والرقم التسلسلي</w:t>
            </w:r>
          </w:p>
        </w:tc>
        <w:tc>
          <w:tcPr>
            <w:tcW w:type="dxa" w:w="1247"/>
            <w:shd w:val="clear" w:color="auto" w:fill="0B5C4B"/>
          </w:tcPr>
          <w:p>
            <w:pPr>
              <w:bidi/>
              <w:spacing w:after="0"/>
              <w:jc w:val="right"/>
            </w:pPr>
            <w:r>
              <w:rPr>
                <w:rFonts w:ascii="Arial" w:hAnsi="Arial" w:cs="Arial" w:eastAsia="Arial"/>
                <w:b/>
                <w:bCs/>
                <w:color w:val="FFFFFF"/>
                <w:sz w:val="19"/>
                <w:szCs w:val="19"/>
                <w:rtl/>
                <w:lang w:val="en-US" w:bidi="ar-EG"/>
              </w:rPr>
              <w:t>عدد الزيارات</w:t>
            </w:r>
          </w:p>
        </w:tc>
        <w:tc>
          <w:tcPr>
            <w:tcW w:type="dxa" w:w="1701"/>
            <w:shd w:val="clear" w:color="auto" w:fill="0B5C4B"/>
          </w:tcPr>
          <w:p>
            <w:pPr>
              <w:bidi/>
              <w:spacing w:after="0"/>
              <w:jc w:val="right"/>
            </w:pPr>
            <w:r>
              <w:rPr>
                <w:rFonts w:ascii="Arial" w:hAnsi="Arial" w:cs="Arial" w:eastAsia="Arial"/>
                <w:b/>
                <w:bCs/>
                <w:color w:val="FFFFFF"/>
                <w:sz w:val="19"/>
                <w:szCs w:val="19"/>
                <w:rtl/>
                <w:lang w:val="en-US" w:bidi="ar-EG"/>
              </w:rPr>
              <w:t>مواعيد الزيارات</w:t>
            </w:r>
          </w:p>
        </w:tc>
      </w:tr>
      <w:tr>
        <w:trPr>
          <w:trHeight w:val="425"/>
        </w:trPr>
        <w:tc>
          <w:tcPr>
            <w:tcW w:type="dxa" w:w="567"/>
          </w:tcPr>
          <w:p>
            <w:pPr>
              <w:bidi/>
              <w:spacing w:after="0"/>
              <w:jc w:val="right"/>
            </w:pPr>
            <w:r>
              <w:rPr>
                <w:rFonts w:ascii="Arial" w:hAnsi="Arial" w:cs="Arial" w:eastAsia="Arial"/>
                <w:sz w:val="19"/>
                <w:szCs w:val="19"/>
                <w:rtl/>
                <w:lang w:val="en-US" w:bidi="ar-EG"/>
              </w:rPr>
              <w:t>1</w:t>
            </w:r>
          </w:p>
        </w:tc>
        <w:tc>
          <w:tcPr>
            <w:tcW w:type="dxa" w:w="2381"/>
          </w:tcPr>
          <w:p>
            <w:pPr>
              <w:bidi/>
              <w:spacing w:after="0"/>
              <w:jc w:val="right"/>
            </w:pPr>
          </w:p>
        </w:tc>
        <w:tc>
          <w:tcPr>
            <w:tcW w:type="dxa" w:w="1814"/>
          </w:tcPr>
          <w:p>
            <w:pPr>
              <w:bidi/>
              <w:spacing w:after="0"/>
              <w:jc w:val="right"/>
            </w:pPr>
          </w:p>
        </w:tc>
        <w:tc>
          <w:tcPr>
            <w:tcW w:type="dxa" w:w="2154"/>
          </w:tcPr>
          <w:p>
            <w:pPr>
              <w:bidi/>
              <w:spacing w:after="0"/>
              <w:jc w:val="right"/>
            </w:pPr>
          </w:p>
        </w:tc>
        <w:tc>
          <w:tcPr>
            <w:tcW w:type="dxa" w:w="1247"/>
          </w:tcPr>
          <w:p>
            <w:pPr>
              <w:bidi/>
              <w:spacing w:after="0"/>
              <w:jc w:val="right"/>
            </w:pPr>
          </w:p>
        </w:tc>
        <w:tc>
          <w:tcPr>
            <w:tcW w:type="dxa" w:w="1701"/>
          </w:tcPr>
          <w:p>
            <w:pPr>
              <w:bidi/>
              <w:spacing w:after="0"/>
              <w:jc w:val="right"/>
            </w:pPr>
          </w:p>
        </w:tc>
      </w:tr>
      <w:tr>
        <w:trPr>
          <w:trHeight w:val="425"/>
        </w:trPr>
        <w:tc>
          <w:tcPr>
            <w:tcW w:type="dxa" w:w="567"/>
          </w:tcPr>
          <w:p>
            <w:pPr>
              <w:bidi/>
              <w:spacing w:after="0"/>
              <w:jc w:val="right"/>
            </w:pPr>
            <w:r>
              <w:rPr>
                <w:rFonts w:ascii="Arial" w:hAnsi="Arial" w:cs="Arial" w:eastAsia="Arial"/>
                <w:sz w:val="19"/>
                <w:szCs w:val="19"/>
                <w:rtl/>
                <w:lang w:val="en-US" w:bidi="ar-EG"/>
              </w:rPr>
              <w:t>2</w:t>
            </w:r>
          </w:p>
        </w:tc>
        <w:tc>
          <w:tcPr>
            <w:tcW w:type="dxa" w:w="2381"/>
          </w:tcPr>
          <w:p>
            <w:pPr>
              <w:bidi/>
              <w:spacing w:after="0"/>
              <w:jc w:val="right"/>
            </w:pPr>
          </w:p>
        </w:tc>
        <w:tc>
          <w:tcPr>
            <w:tcW w:type="dxa" w:w="1814"/>
          </w:tcPr>
          <w:p>
            <w:pPr>
              <w:bidi/>
              <w:spacing w:after="0"/>
              <w:jc w:val="right"/>
            </w:pPr>
          </w:p>
        </w:tc>
        <w:tc>
          <w:tcPr>
            <w:tcW w:type="dxa" w:w="2154"/>
          </w:tcPr>
          <w:p>
            <w:pPr>
              <w:bidi/>
              <w:spacing w:after="0"/>
              <w:jc w:val="right"/>
            </w:pPr>
          </w:p>
        </w:tc>
        <w:tc>
          <w:tcPr>
            <w:tcW w:type="dxa" w:w="1247"/>
          </w:tcPr>
          <w:p>
            <w:pPr>
              <w:bidi/>
              <w:spacing w:after="0"/>
              <w:jc w:val="right"/>
            </w:pPr>
          </w:p>
        </w:tc>
        <w:tc>
          <w:tcPr>
            <w:tcW w:type="dxa" w:w="1701"/>
          </w:tcPr>
          <w:p>
            <w:pPr>
              <w:bidi/>
              <w:spacing w:after="0"/>
              <w:jc w:val="right"/>
            </w:pPr>
          </w:p>
        </w:tc>
      </w:tr>
      <w:tr>
        <w:trPr>
          <w:trHeight w:val="425"/>
        </w:trPr>
        <w:tc>
          <w:tcPr>
            <w:tcW w:type="dxa" w:w="567"/>
          </w:tcPr>
          <w:p>
            <w:pPr>
              <w:bidi/>
              <w:spacing w:after="0"/>
              <w:jc w:val="right"/>
            </w:pPr>
            <w:r>
              <w:rPr>
                <w:rFonts w:ascii="Arial" w:hAnsi="Arial" w:cs="Arial" w:eastAsia="Arial"/>
                <w:sz w:val="19"/>
                <w:szCs w:val="19"/>
                <w:rtl/>
                <w:lang w:val="en-US" w:bidi="ar-EG"/>
              </w:rPr>
              <w:t>3</w:t>
            </w:r>
          </w:p>
        </w:tc>
        <w:tc>
          <w:tcPr>
            <w:tcW w:type="dxa" w:w="2381"/>
          </w:tcPr>
          <w:p>
            <w:pPr>
              <w:bidi/>
              <w:spacing w:after="0"/>
              <w:jc w:val="right"/>
            </w:pPr>
          </w:p>
        </w:tc>
        <w:tc>
          <w:tcPr>
            <w:tcW w:type="dxa" w:w="1814"/>
          </w:tcPr>
          <w:p>
            <w:pPr>
              <w:bidi/>
              <w:spacing w:after="0"/>
              <w:jc w:val="right"/>
            </w:pPr>
          </w:p>
        </w:tc>
        <w:tc>
          <w:tcPr>
            <w:tcW w:type="dxa" w:w="2154"/>
          </w:tcPr>
          <w:p>
            <w:pPr>
              <w:bidi/>
              <w:spacing w:after="0"/>
              <w:jc w:val="right"/>
            </w:pPr>
          </w:p>
        </w:tc>
        <w:tc>
          <w:tcPr>
            <w:tcW w:type="dxa" w:w="1247"/>
          </w:tcPr>
          <w:p>
            <w:pPr>
              <w:bidi/>
              <w:spacing w:after="0"/>
              <w:jc w:val="right"/>
            </w:pPr>
          </w:p>
        </w:tc>
        <w:tc>
          <w:tcPr>
            <w:tcW w:type="dxa" w:w="1701"/>
          </w:tcPr>
          <w:p>
            <w:pPr>
              <w:bidi/>
              <w:spacing w:after="0"/>
              <w:jc w:val="right"/>
            </w:pPr>
          </w:p>
        </w:tc>
      </w:tr>
      <w:tr>
        <w:trPr>
          <w:trHeight w:val="425"/>
        </w:trPr>
        <w:tc>
          <w:tcPr>
            <w:tcW w:type="dxa" w:w="567"/>
          </w:tcPr>
          <w:p>
            <w:pPr>
              <w:bidi/>
              <w:spacing w:after="0"/>
              <w:jc w:val="right"/>
            </w:pPr>
            <w:r>
              <w:rPr>
                <w:rFonts w:ascii="Arial" w:hAnsi="Arial" w:cs="Arial" w:eastAsia="Arial"/>
                <w:sz w:val="19"/>
                <w:szCs w:val="19"/>
                <w:rtl/>
                <w:lang w:val="en-US" w:bidi="ar-EG"/>
              </w:rPr>
              <w:t>4</w:t>
            </w:r>
          </w:p>
        </w:tc>
        <w:tc>
          <w:tcPr>
            <w:tcW w:type="dxa" w:w="2381"/>
          </w:tcPr>
          <w:p>
            <w:pPr>
              <w:bidi/>
              <w:spacing w:after="0"/>
              <w:jc w:val="right"/>
            </w:pPr>
          </w:p>
        </w:tc>
        <w:tc>
          <w:tcPr>
            <w:tcW w:type="dxa" w:w="1814"/>
          </w:tcPr>
          <w:p>
            <w:pPr>
              <w:bidi/>
              <w:spacing w:after="0"/>
              <w:jc w:val="right"/>
            </w:pPr>
          </w:p>
        </w:tc>
        <w:tc>
          <w:tcPr>
            <w:tcW w:type="dxa" w:w="2154"/>
          </w:tcPr>
          <w:p>
            <w:pPr>
              <w:bidi/>
              <w:spacing w:after="0"/>
              <w:jc w:val="right"/>
            </w:pPr>
          </w:p>
        </w:tc>
        <w:tc>
          <w:tcPr>
            <w:tcW w:type="dxa" w:w="1247"/>
          </w:tcPr>
          <w:p>
            <w:pPr>
              <w:bidi/>
              <w:spacing w:after="0"/>
              <w:jc w:val="right"/>
            </w:pPr>
          </w:p>
        </w:tc>
        <w:tc>
          <w:tcPr>
            <w:tcW w:type="dxa" w:w="1701"/>
          </w:tcPr>
          <w:p>
            <w:pPr>
              <w:bidi/>
              <w:spacing w:after="0"/>
              <w:jc w:val="right"/>
            </w:pPr>
          </w:p>
        </w:tc>
      </w:tr>
      <w:tr>
        <w:trPr>
          <w:trHeight w:val="425"/>
        </w:trPr>
        <w:tc>
          <w:tcPr>
            <w:tcW w:type="dxa" w:w="567"/>
          </w:tcPr>
          <w:p>
            <w:pPr>
              <w:bidi/>
              <w:spacing w:after="0"/>
              <w:jc w:val="right"/>
            </w:pPr>
            <w:r>
              <w:rPr>
                <w:rFonts w:ascii="Arial" w:hAnsi="Arial" w:cs="Arial" w:eastAsia="Arial"/>
                <w:sz w:val="19"/>
                <w:szCs w:val="19"/>
                <w:rtl/>
                <w:lang w:val="en-US" w:bidi="ar-EG"/>
              </w:rPr>
              <w:t>5</w:t>
            </w:r>
          </w:p>
        </w:tc>
        <w:tc>
          <w:tcPr>
            <w:tcW w:type="dxa" w:w="2381"/>
          </w:tcPr>
          <w:p>
            <w:pPr>
              <w:bidi/>
              <w:spacing w:after="0"/>
              <w:jc w:val="right"/>
            </w:pPr>
          </w:p>
        </w:tc>
        <w:tc>
          <w:tcPr>
            <w:tcW w:type="dxa" w:w="1814"/>
          </w:tcPr>
          <w:p>
            <w:pPr>
              <w:bidi/>
              <w:spacing w:after="0"/>
              <w:jc w:val="right"/>
            </w:pPr>
          </w:p>
        </w:tc>
        <w:tc>
          <w:tcPr>
            <w:tcW w:type="dxa" w:w="2154"/>
          </w:tcPr>
          <w:p>
            <w:pPr>
              <w:bidi/>
              <w:spacing w:after="0"/>
              <w:jc w:val="right"/>
            </w:pPr>
          </w:p>
        </w:tc>
        <w:tc>
          <w:tcPr>
            <w:tcW w:type="dxa" w:w="1247"/>
          </w:tcPr>
          <w:p>
            <w:pPr>
              <w:bidi/>
              <w:spacing w:after="0"/>
              <w:jc w:val="right"/>
            </w:pPr>
          </w:p>
        </w:tc>
        <w:tc>
          <w:tcPr>
            <w:tcW w:type="dxa" w:w="1701"/>
          </w:tcPr>
          <w:p>
            <w:pPr>
              <w:bidi/>
              <w:spacing w:after="0"/>
              <w:jc w:val="right"/>
            </w:pPr>
          </w:p>
        </w:tc>
      </w:tr>
    </w:tbl>
    <w:p>
      <w:pPr>
        <w:spacing w:after="40"/>
      </w:pPr>
    </w:p>
    <w:sectPr w:rsidR="00FC693F" w:rsidRPr="0006063C" w:rsidSect="00034616">
      <w:footerReference w:type="default" r:id="rId9"/>
      <w:pgSz w:w="11906" w:h="16838"/>
      <w:pgMar w:top="907"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jc w:val="center"/>
    </w:pPr>
    <w:r>
      <w:rPr>
        <w:rFonts w:ascii="Arial" w:hAnsi="Arial" w:cs="Arial" w:eastAsia="Arial"/>
        <w:color w:val="555B66"/>
        <w:sz w:val="16"/>
        <w:szCs w:val="16"/>
        <w:rtl/>
        <w:lang w:val="en-US" w:bidi="ar-EG"/>
      </w:rPr>
      <w:t>نموذج مجاني من خدماتو (khadmato.com)، للاسترشاد، عدّله حسب نشاطك وراجعه قبل اعتماده.</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